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-118110</wp:posOffset>
                  </wp:positionH>
                  <wp:positionV relativeFrom="paragraph">
                    <wp:posOffset>8255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E43ABD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E43ABD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488950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E43ABD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370205</wp:posOffset>
                  </wp:positionV>
                  <wp:extent cx="1600200" cy="9239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E43ABD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7480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4734B5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E54ACA">
        <w:rPr>
          <w:sz w:val="28"/>
          <w:szCs w:val="28"/>
        </w:rPr>
        <w:t xml:space="preserve">  у</w:t>
      </w:r>
      <w:r w:rsidR="00E43ABD">
        <w:rPr>
          <w:sz w:val="28"/>
          <w:szCs w:val="28"/>
        </w:rPr>
        <w:t>читель  Романова Екатерина Николаевна.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E43ABD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4734B5">
        <w:rPr>
          <w:sz w:val="28"/>
          <w:szCs w:val="28"/>
        </w:rPr>
        <w:t>9 классе</w:t>
      </w:r>
      <w:r>
        <w:rPr>
          <w:sz w:val="28"/>
          <w:szCs w:val="28"/>
        </w:rPr>
        <w:t xml:space="preserve"> планом внеурочной деятельности предусмотрено 34 часа в год.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7E640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F1BDB" w:rsidTr="003B128E">
        <w:tc>
          <w:tcPr>
            <w:tcW w:w="1135" w:type="dxa"/>
          </w:tcPr>
          <w:p w:rsidR="00AF1BDB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34B5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A0E84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3ABD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4EA5-C17B-4B90-8084-D63E3F7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13</cp:revision>
  <dcterms:created xsi:type="dcterms:W3CDTF">2019-10-22T12:36:00Z</dcterms:created>
  <dcterms:modified xsi:type="dcterms:W3CDTF">2021-02-18T07:13:00Z</dcterms:modified>
</cp:coreProperties>
</file>