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bCs/>
          <w:sz w:val="28"/>
          <w:szCs w:val="24"/>
          <w:lang w:eastAsia="ru-RU"/>
        </w:rPr>
        <w:t>«Кириковская средняя школа»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tbl>
      <w:tblPr>
        <w:tblW w:w="9591" w:type="dxa"/>
        <w:jc w:val="left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3190"/>
        <w:gridCol w:w="3190"/>
        <w:gridCol w:w="321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СОГЛАСОВАНО: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margin">
                    <wp:posOffset>215265</wp:posOffset>
                  </wp:positionH>
                  <wp:positionV relativeFrom="paragraph">
                    <wp:posOffset>685800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 xml:space="preserve">  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Заместитель директора по учебно-воспитательной работе Сластихина Н.П._______</w:t>
            </w:r>
          </w:p>
          <w:p>
            <w:pPr>
              <w:pStyle w:val="Normal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«30» августа 2019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ru-RU" w:eastAsia="ru-RU"/>
              </w:rP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134620</wp:posOffset>
                  </wp:positionV>
                  <wp:extent cx="1763395" cy="163195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margin">
                    <wp:posOffset>1390650</wp:posOffset>
                  </wp:positionH>
                  <wp:positionV relativeFrom="paragraph">
                    <wp:posOffset>1238250</wp:posOffset>
                  </wp:positionV>
                  <wp:extent cx="1914525" cy="180975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УТВЕРЖДАЮ: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231775</wp:posOffset>
                  </wp:positionH>
                  <wp:positionV relativeFrom="paragraph">
                    <wp:posOffset>881380</wp:posOffset>
                  </wp:positionV>
                  <wp:extent cx="1600200" cy="132397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 xml:space="preserve"> 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Директор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Ивченко О.В.</w:t>
            </w:r>
          </w:p>
          <w:p>
            <w:pPr>
              <w:pStyle w:val="Normal"/>
              <w:spacing w:lineRule="auto" w:line="240" w:before="0" w:after="0"/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eastAsia="ru-RU"/>
              </w:rPr>
              <w:t>«30» августа 2019 года</w:t>
            </w:r>
          </w:p>
        </w:tc>
      </w:tr>
    </w:tbl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>РАБОЧАЯ ПРОГРАММА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>по предмету «Геометрия » для учащихся 8 класса муниципального бюджетного общеобразовательного учреждения «Кириковская средняя  школа»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>Составила:   учитель Романова Екатерина Николаевна.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sz w:val="28"/>
          <w:szCs w:val="24"/>
          <w:lang w:eastAsia="ru-RU"/>
        </w:rPr>
        <w:t>2019-2020 учебный год.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4"/>
          <w:lang w:eastAsia="ru-RU"/>
        </w:rPr>
      </w:pPr>
      <w:r>
        <w:rPr>
          <w:rFonts w:cs="Times New Roman" w:ascii="Times New Roman" w:hAnsi="Times New Roman"/>
          <w:b/>
          <w:sz w:val="28"/>
          <w:szCs w:val="24"/>
        </w:rPr>
        <w:t>Пояснительная записка.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cs="Times New Roman"/>
          <w:b/>
          <w:b/>
          <w:sz w:val="28"/>
          <w:szCs w:val="24"/>
          <w:lang w:eastAsia="ru-RU"/>
        </w:rPr>
      </w:pPr>
      <w:r>
        <w:rPr>
          <w:rFonts w:cs="Times New Roman" w:ascii="Times New Roman" w:hAnsi="Times New Roman"/>
          <w:b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w w:val="111"/>
          <w:sz w:val="28"/>
          <w:szCs w:val="28"/>
        </w:rPr>
      </w:pPr>
      <w:r>
        <w:rPr>
          <w:rFonts w:cs="Times New Roman" w:ascii="Times New Roman" w:hAnsi="Times New Roman"/>
          <w:sz w:val="28"/>
          <w:szCs w:val="24"/>
          <w:lang w:eastAsia="ru-RU"/>
        </w:rPr>
        <w:t xml:space="preserve">     </w:t>
      </w:r>
      <w:r>
        <w:rPr>
          <w:rFonts w:cs="Times New Roman" w:ascii="Times New Roman" w:hAnsi="Times New Roman"/>
          <w:w w:val="106"/>
          <w:sz w:val="28"/>
          <w:szCs w:val="28"/>
        </w:rPr>
        <w:t>Настоящая</w:t>
      </w:r>
      <w:r>
        <w:rPr>
          <w:rFonts w:cs="Times New Roman" w:ascii="Times New Roman" w:hAnsi="Times New Roman"/>
          <w:sz w:val="28"/>
          <w:szCs w:val="28"/>
        </w:rPr>
        <w:t xml:space="preserve"> рабочая </w:t>
      </w:r>
      <w:r>
        <w:rPr>
          <w:rFonts w:cs="Times New Roman" w:ascii="Times New Roman" w:hAnsi="Times New Roman"/>
          <w:w w:val="106"/>
          <w:sz w:val="28"/>
          <w:szCs w:val="28"/>
        </w:rPr>
        <w:t xml:space="preserve">программа  по предмету «Геометрия» предназначена для учащихся </w:t>
      </w:r>
      <w:r>
        <w:rPr>
          <w:rFonts w:cs="Times New Roman" w:ascii="Times New Roman" w:hAnsi="Times New Roman"/>
          <w:w w:val="141"/>
          <w:sz w:val="28"/>
          <w:szCs w:val="28"/>
        </w:rPr>
        <w:t xml:space="preserve">8 класса </w:t>
      </w:r>
      <w:r>
        <w:rPr>
          <w:rFonts w:cs="Times New Roman" w:ascii="Times New Roman" w:hAnsi="Times New Roman"/>
          <w:w w:val="107"/>
          <w:sz w:val="28"/>
          <w:szCs w:val="28"/>
        </w:rPr>
        <w:t xml:space="preserve">муниципального бюджетного общеобразовательного учреждения «Кириковская средняя школа» </w:t>
      </w:r>
      <w:r>
        <w:rPr>
          <w:rFonts w:cs="Times New Roman" w:ascii="Times New Roman" w:hAnsi="Times New Roman"/>
          <w:sz w:val="28"/>
          <w:szCs w:val="28"/>
        </w:rPr>
        <w:t xml:space="preserve"> и разработана на основании основной образовательной программы основного общего образования муниципального бюджетного общеобразовательного учреждения «Кириковская средняя школа» от 07.03.2019, </w:t>
      </w:r>
      <w:r>
        <w:rPr>
          <w:rFonts w:cs="Times New Roman" w:ascii="Times New Roman" w:hAnsi="Times New Roman"/>
          <w:w w:val="111"/>
          <w:sz w:val="28"/>
          <w:szCs w:val="28"/>
        </w:rPr>
        <w:t>учебного плана  для 5-9 классов муниципального бюджетного общеобразовательного учреждения «Кириковская средняя школа» на 2019-2020 учебный год,  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keepNext/>
        <w:keepLines/>
        <w:spacing w:lineRule="auto" w:line="240" w:before="0" w:after="0"/>
        <w:jc w:val="both"/>
        <w:rPr>
          <w:rFonts w:ascii="Times New Roman" w:hAnsi="Times New Roman" w:eastAsia="Franklin Gothic Book" w:cs="Franklin Gothic Book"/>
          <w:sz w:val="28"/>
          <w:szCs w:val="24"/>
          <w:u w:val="single"/>
          <w:lang w:eastAsia="ru-RU"/>
        </w:rPr>
      </w:pPr>
      <w:r>
        <w:rPr>
          <w:rFonts w:cs="Times New Roman" w:ascii="Times New Roman" w:hAnsi="Times New Roman"/>
          <w:sz w:val="28"/>
          <w:szCs w:val="24"/>
        </w:rPr>
        <w:t xml:space="preserve">  </w:t>
      </w:r>
      <w:r>
        <w:rPr>
          <w:rFonts w:cs="Times New Roman" w:ascii="Times New Roman" w:hAnsi="Times New Roman"/>
          <w:sz w:val="28"/>
          <w:szCs w:val="24"/>
        </w:rPr>
        <w:t>Цели и задачи курса: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овладение системой геометрических знаний и умений, необходимых для применения  в практической деятельности, изучения смежных дисциплин, продолжения образования.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интеллектуальное развитие, формирование качеств личности, необходимых человеку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воспитание культуры личности, отношение к геометрии как к части общечеловеческой культуры, понимание значимости геометрии для научно-технического прогресса.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 xml:space="preserve">  </w:t>
      </w:r>
      <w:r>
        <w:rPr>
          <w:rFonts w:cs="Times New Roman" w:ascii="Times New Roman" w:hAnsi="Times New Roman"/>
          <w:sz w:val="28"/>
          <w:szCs w:val="24"/>
        </w:rPr>
        <w:t>Общая характеристика учебного предмета.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 xml:space="preserve">     </w:t>
      </w:r>
      <w:r>
        <w:rPr>
          <w:rFonts w:cs="Times New Roman" w:ascii="Times New Roman" w:hAnsi="Times New Roman"/>
          <w:bCs/>
          <w:iCs/>
          <w:color w:val="000000"/>
          <w:spacing w:val="-2"/>
          <w:sz w:val="28"/>
          <w:szCs w:val="24"/>
        </w:rPr>
        <w:t xml:space="preserve">Геометрия </w:t>
      </w:r>
      <w:r>
        <w:rPr>
          <w:rFonts w:cs="Times New Roman" w:ascii="Times New Roman" w:hAnsi="Times New Roman"/>
          <w:iCs/>
          <w:color w:val="000000"/>
          <w:spacing w:val="-2"/>
          <w:sz w:val="28"/>
          <w:szCs w:val="24"/>
        </w:rPr>
        <w:t xml:space="preserve">— </w:t>
      </w:r>
      <w:r>
        <w:rPr>
          <w:rFonts w:cs="Times New Roman" w:ascii="Times New Roman" w:hAnsi="Times New Roman"/>
          <w:color w:val="000000"/>
          <w:spacing w:val="-2"/>
          <w:sz w:val="28"/>
          <w:szCs w:val="24"/>
        </w:rPr>
        <w:t xml:space="preserve">один из важнейших компонентов математического </w:t>
      </w:r>
      <w:r>
        <w:rPr>
          <w:rFonts w:cs="Times New Roman" w:ascii="Times New Roman" w:hAnsi="Times New Roman"/>
          <w:color w:val="000000"/>
          <w:spacing w:val="6"/>
          <w:sz w:val="28"/>
          <w:szCs w:val="24"/>
        </w:rPr>
        <w:t xml:space="preserve">образования, необходимый для приобретения конкретных знаний </w:t>
      </w:r>
      <w:r>
        <w:rPr>
          <w:rFonts w:cs="Times New Roman" w:ascii="Times New Roman" w:hAnsi="Times New Roman"/>
          <w:color w:val="000000"/>
          <w:sz w:val="28"/>
          <w:szCs w:val="24"/>
        </w:rPr>
        <w:t>о пространстве и практически значимых умений, формирования язы</w:t>
      </w:r>
      <w:r>
        <w:rPr>
          <w:rFonts w:cs="Times New Roman" w:ascii="Times New Roman" w:hAnsi="Times New Roman"/>
          <w:color w:val="000000"/>
          <w:spacing w:val="1"/>
          <w:sz w:val="28"/>
          <w:szCs w:val="24"/>
        </w:rPr>
        <w:t>ка описания объектов окружающего мира, для развития пространст</w:t>
      </w:r>
      <w:r>
        <w:rPr>
          <w:rFonts w:cs="Times New Roman" w:ascii="Times New Roman" w:hAnsi="Times New Roman"/>
          <w:color w:val="000000"/>
          <w:spacing w:val="-1"/>
          <w:sz w:val="28"/>
          <w:szCs w:val="24"/>
        </w:rPr>
        <w:t>венного воображения и интуиции, математической культуры, для эс</w:t>
      </w:r>
      <w:r>
        <w:rPr>
          <w:rFonts w:cs="Times New Roman" w:ascii="Times New Roman" w:hAnsi="Times New Roman"/>
          <w:color w:val="000000"/>
          <w:spacing w:val="1"/>
          <w:sz w:val="28"/>
          <w:szCs w:val="24"/>
        </w:rPr>
        <w:t>тетического воспитания учащихся. Изучение геометрии вносит вклад в развитие логического мышления, в формирование понятия доказа</w:t>
      </w:r>
      <w:r>
        <w:rPr>
          <w:rFonts w:cs="Times New Roman" w:ascii="Times New Roman" w:hAnsi="Times New Roman"/>
          <w:color w:val="000000"/>
          <w:spacing w:val="-3"/>
          <w:sz w:val="28"/>
          <w:szCs w:val="24"/>
        </w:rPr>
        <w:t>тельства.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 xml:space="preserve">      </w:t>
      </w:r>
      <w:r>
        <w:rPr>
          <w:rFonts w:cs="Times New Roman" w:ascii="Times New Roman" w:hAnsi="Times New Roman"/>
          <w:sz w:val="28"/>
          <w:szCs w:val="24"/>
        </w:rPr>
        <w:t>Таким образом, в ходе освоения содержания предмета учащиеся получают возможность развить пространственные представления и изобразительные умения, освоить основные факты и методы планиметрии, познакомиться с простейшими фигурами и их свойствами.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 xml:space="preserve">        </w:t>
      </w:r>
      <w:r>
        <w:rPr>
          <w:rFonts w:cs="Times New Roman" w:ascii="Times New Roman" w:hAnsi="Times New Roman"/>
          <w:sz w:val="28"/>
          <w:szCs w:val="24"/>
        </w:rPr>
        <w:t>Настоящая рабочая программа планируется к реализации 2 часа в геометрии в неделю и  70 часов геометрии, в учебный год. Из них 5 часов тематические контрольные работы и 1 час на итоговую административную контрольную работу.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 xml:space="preserve">        </w:t>
      </w:r>
      <w:r>
        <w:rPr>
          <w:rFonts w:cs="Times New Roman" w:ascii="Times New Roman" w:hAnsi="Times New Roman"/>
          <w:sz w:val="28"/>
          <w:szCs w:val="24"/>
        </w:rPr>
        <w:t>Формы промежуточной и итоговой аттестации: контрольные работы, самостоятельные работы, тесты.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cs="Times New Roman"/>
          <w:b/>
          <w:b/>
          <w:spacing w:val="2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pacing w:val="2"/>
          <w:sz w:val="28"/>
          <w:szCs w:val="28"/>
          <w:lang w:eastAsia="ru-RU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cs="Times New Roman"/>
          <w:b/>
          <w:b/>
          <w:spacing w:val="2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pacing w:val="2"/>
          <w:sz w:val="28"/>
          <w:szCs w:val="28"/>
          <w:lang w:eastAsia="ru-RU"/>
        </w:rPr>
        <w:t>2.Планируемые результаты освоения предмета.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 xml:space="preserve">    </w:t>
      </w:r>
      <w:r>
        <w:rPr>
          <w:rFonts w:cs="Times New Roman" w:ascii="Times New Roman" w:hAnsi="Times New Roman"/>
          <w:sz w:val="28"/>
          <w:szCs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bCs/>
          <w:iCs/>
          <w:sz w:val="28"/>
          <w:szCs w:val="24"/>
          <w:u w:val="single"/>
        </w:rPr>
        <w:t>личностные: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целостного мировоззрения, соответствующего современному уровню развития науки и общественной практики;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критичность мышления, умение распознавать логически некорректные высказывания, отличать гипотезу от факта;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креативность мышления, инициативу, находчивость, активность при решении геометрических задач;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контролировать процесс и результат учебной математической деятельности;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способность к эмоциональному восприятию математических объектов, задач, решений, рассуждений;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bCs/>
          <w:iCs/>
          <w:sz w:val="28"/>
          <w:szCs w:val="24"/>
          <w:u w:val="single"/>
        </w:rPr>
        <w:t>метапредметные: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iCs/>
          <w:sz w:val="28"/>
          <w:szCs w:val="24"/>
          <w:u w:val="single"/>
        </w:rPr>
        <w:t>регулятивные универсальные учебные действия: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осуществлять контроль по результату и способу действия на уровне произвольного внимания и вносить необходимые коррективы;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понимание сущности алгоритмических предписаний и умение действовать в соответствии с предложенным алгоритмом;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самостоятельно ставить цели, выбирать и создавать алгоритмы для решения учебных математических проблем;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планировать и осуществлять деятельность, направленную на решение задач исследовательского характера;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iCs/>
          <w:sz w:val="28"/>
          <w:szCs w:val="24"/>
          <w:u w:val="single"/>
        </w:rPr>
        <w:t>познавательные универсальные учебные действия: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видеть математическую задачу в контексте проблемной ситуации в других дисциплинах, в окружающей жизни;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выдвигать гипотезы при решении учебных задач и понимать необходимость их проверки;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применять индуктивные и дедуктивные способы рассуждений, видеть различные стратегии решения задач;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iCs/>
          <w:sz w:val="28"/>
          <w:szCs w:val="24"/>
          <w:u w:val="single"/>
        </w:rPr>
        <w:t>коммуникативные универсальные учебные действия: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умение работать в группе: находить общее решение и разрешать конфликты на основе согласования позиций и учета интересов;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слушать партнера;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>- формулировать, аргументировать и отстаивать свое мнение;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iCs/>
          <w:sz w:val="28"/>
          <w:szCs w:val="24"/>
          <w:u w:val="single"/>
        </w:rPr>
      </w:pPr>
      <w:r>
        <w:rPr>
          <w:rFonts w:cs="Times New Roman" w:ascii="Times New Roman" w:hAnsi="Times New Roman"/>
          <w:bCs/>
          <w:iCs/>
          <w:sz w:val="28"/>
          <w:szCs w:val="24"/>
          <w:u w:val="single"/>
        </w:rPr>
        <w:t>предметные: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пользоваться геометрическим языком для описания предметов окружающего мира;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распознавать геометрические фигуры, различать их взаимное расположение;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изображать геометрические фигуры; выполнять чертежи по условию задачи; осуществлять преобразования фигур;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распознавать на чертежах, моделях и в окружающей обстановке основные пространственные тела, изображать их;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jc w:val="both"/>
        <w:rPr/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в простейших случаях строить сечения и развертки пространственных тел;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jc w:val="both"/>
        <w:rPr/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проводить операции над векторами, вычислять длину и координаты вектора, угол между векторами;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jc w:val="both"/>
        <w:rPr/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решать геометрические задачи, опираясь на изученные свойства фигур и отношений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между ними, применяя дополнительные построения, алгебраический и тригонометричский аппарат, правила симметрии;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left="-283" w:hanging="0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left="-283" w:hanging="0"/>
        <w:jc w:val="both"/>
        <w:rPr/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решать простейшие планиметрические задачи в пространстве.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bCs/>
          <w:iCs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iCs/>
          <w:sz w:val="28"/>
          <w:szCs w:val="24"/>
          <w:lang w:eastAsia="ru-RU"/>
        </w:rPr>
        <w:t xml:space="preserve">         </w:t>
      </w:r>
      <w:r>
        <w:rPr>
          <w:rFonts w:eastAsia="Newton-Regular;Arial Unicode MS" w:cs="Times New Roman" w:ascii="Times New Roman" w:hAnsi="Times New Roman"/>
          <w:bCs/>
          <w:iCs/>
          <w:sz w:val="28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>
      <w:pPr>
        <w:pStyle w:val="Normal"/>
        <w:tabs>
          <w:tab w:val="left" w:pos="9214" w:leader="none"/>
        </w:tabs>
        <w:autoSpaceDE w:val="false"/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bCs/>
          <w:iCs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bCs/>
          <w:iCs/>
          <w:sz w:val="28"/>
          <w:szCs w:val="24"/>
          <w:lang w:eastAsia="ru-RU"/>
        </w:rPr>
        <w:t xml:space="preserve">-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описания реальных ситуаций на языке геометрии;</w:t>
      </w:r>
    </w:p>
    <w:p>
      <w:pPr>
        <w:pStyle w:val="Normal"/>
        <w:tabs>
          <w:tab w:val="left" w:pos="9214" w:leader="none"/>
        </w:tabs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расчетов, включающих простейшие тригонометрические формулы;</w:t>
      </w:r>
    </w:p>
    <w:p>
      <w:pPr>
        <w:pStyle w:val="Normal"/>
        <w:tabs>
          <w:tab w:val="left" w:pos="9214" w:leader="none"/>
        </w:tabs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решения геометрических задач с использованием тригонометрии;</w:t>
      </w:r>
    </w:p>
    <w:p>
      <w:pPr>
        <w:pStyle w:val="Normal"/>
        <w:tabs>
          <w:tab w:val="left" w:pos="9214" w:leader="none"/>
        </w:tabs>
        <w:spacing w:lineRule="auto" w:line="240" w:before="0" w:after="0"/>
        <w:ind w:hanging="283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>
      <w:pPr>
        <w:pStyle w:val="Normal"/>
        <w:tabs>
          <w:tab w:val="left" w:pos="9214" w:leader="none"/>
        </w:tabs>
        <w:spacing w:lineRule="auto" w:line="240" w:before="0" w:after="0"/>
        <w:ind w:hanging="283"/>
        <w:jc w:val="both"/>
        <w:rPr/>
      </w:pP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- построений с помощью геометрических инструментов (линейка, угольник, циркуль,</w:t>
      </w:r>
    </w:p>
    <w:p>
      <w:pPr>
        <w:pStyle w:val="Normal"/>
        <w:autoSpaceDE w:val="false"/>
        <w:spacing w:lineRule="auto" w:line="240" w:before="0" w:after="0"/>
        <w:ind w:hanging="141"/>
        <w:jc w:val="both"/>
        <w:rPr>
          <w:rFonts w:ascii="Times New Roman" w:hAnsi="Times New Roman" w:eastAsia="Newton-Regular;Arial Unicode MS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</w:t>
      </w:r>
      <w:r>
        <w:rPr>
          <w:rFonts w:eastAsia="Newton-Regular;Arial Unicode MS" w:cs="Times New Roman" w:ascii="Times New Roman" w:hAnsi="Times New Roman"/>
          <w:sz w:val="28"/>
          <w:szCs w:val="24"/>
          <w:lang w:eastAsia="ru-RU"/>
        </w:rPr>
        <w:t>транспортир).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В результате изучения геометрии   обучающийся научится: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color w:val="000000"/>
          <w:sz w:val="28"/>
          <w:szCs w:val="24"/>
          <w:lang w:eastAsia="ru-RU"/>
        </w:rPr>
        <w:t>наглядной геометрии: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1) распознавать на чертежах, рисунках, моделях и в окружаю</w:t>
        <w:softHyphen/>
        <w:t>щем мире плоские и пространственные геометрические фи</w:t>
        <w:softHyphen/>
        <w:t>гуры;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2) распознавать развёртки куба, прямоугольного параллелепи</w:t>
        <w:softHyphen/>
        <w:t>педа;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3) определять по линейным размерам развёртки фигуры ли</w:t>
        <w:softHyphen/>
        <w:t>нейные размеры самой фигуры и наоборот;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4) вычислять объём прямоугольного параллелепипеда.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Обучающийся получит возможность: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5)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вычислять объёмы пространственных геометрических фигур, составленных из прямоугольных параллелепи</w:t>
        <w:softHyphen/>
        <w:t>педов;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6)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углубить и развить представления о пространственных геометрических фигурах;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7)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применять понятие развёртки для выполнения практи</w:t>
        <w:softHyphen/>
        <w:t>ческих расчётов.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color w:val="000000"/>
          <w:sz w:val="28"/>
          <w:szCs w:val="24"/>
          <w:lang w:eastAsia="ru-RU"/>
        </w:rPr>
        <w:t>Геометрические фигуры.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Обучающийся</w:t>
      </w: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 научится: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1) пользоваться языком геометрии для описания предметов окружающего мира и их взаимного расположения;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2) распознавать и изображать на чертежах и рисунках гео</w:t>
        <w:softHyphen/>
        <w:t>метрические фигуры и их конфигурации;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  <w:softHyphen/>
        <w:t>рот, параллельный перенос);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4) оперировать с начальными понятиями тригонометрии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и выполнять элементарные операции над функциями углов;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6) решать несложные задачи на построение, применяя основ</w:t>
        <w:softHyphen/>
        <w:t>ные алгоритмы построения с помощью циркуля и ли</w:t>
        <w:softHyphen/>
        <w:t>нейки;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7) решать простейшие планиметрические задачи в простран</w:t>
        <w:softHyphen/>
        <w:t>стве.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Обучающийся получит возможность: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8)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овладеть методами решения задач на вычисления и до</w:t>
        <w:softHyphen/>
        <w:t>казательства: методом от противного, методом подо</w:t>
        <w:softHyphen/>
        <w:t>бия, методом перебора вариантов и методом геометри</w:t>
        <w:softHyphen/>
        <w:t>ческих мест точек;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9)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приобрести опыт применения алгебраического и триго</w:t>
        <w:softHyphen/>
        <w:t>нометрического аппарата и идей движения при реше</w:t>
        <w:softHyphen/>
        <w:t>нии геометрических задач;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10)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овладеть традиционной схемой решения задач на по</w:t>
        <w:softHyphen/>
        <w:t>строение с помощью циркуля и линейки: анализ, постро</w:t>
        <w:softHyphen/>
        <w:t>ение, доказательство и исследование;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11)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научиться решать задачи на построение методом гео</w:t>
        <w:softHyphen/>
        <w:t>метрического места точек и методом подобия;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12)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приобрести опыт исследования свойств планиметриче</w:t>
        <w:softHyphen/>
        <w:t>ских фигур с помощью компьютерных программ.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bCs/>
          <w:color w:val="000000"/>
          <w:sz w:val="28"/>
          <w:szCs w:val="24"/>
          <w:lang w:eastAsia="ru-RU"/>
        </w:rPr>
        <w:t>Измерение геометрических величин.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 xml:space="preserve">Обучающийся </w:t>
      </w: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научится: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1) использовать свойства измерения длин, площадей и углов при решении задач на нахождение длины отрезка, дли</w:t>
        <w:softHyphen/>
        <w:t>ны окружности, длины дуги окружности, градусной меры угла;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2) вычислять длины линейных элементов фигур и их углы, ис</w:t>
        <w:softHyphen/>
        <w:t>пользуя формулы длины окружности и длины дуги окруж</w:t>
        <w:softHyphen/>
        <w:t>ности, формулы площадей фигур;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3) вычислять площади треугольников, прямоугольников, па</w:t>
        <w:softHyphen/>
        <w:t>раллелограммов, трапеций, кругов и секторов;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4) вычислять длину окружности, длину дуги окружности;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5) решать задачи на доказательство с использованием формул длины окружности и длины дуги окружности, формул пло</w:t>
        <w:softHyphen/>
        <w:t>щадей фигур;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>6) решать практические задачи, связанные с нахождением гео</w:t>
        <w:softHyphen/>
        <w:t>метрических величин (используя при необходимости спра</w:t>
        <w:softHyphen/>
        <w:t>вочники и технические средства).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Обучающийся получит возможность: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7)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вычислять площади фигур, составленных из двух или бо</w:t>
        <w:softHyphen/>
        <w:t>лее прямоугольников, параллелограммов, треугольников, круга и сектора;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8)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вычислять площади многоугольников, используя отноше</w:t>
        <w:softHyphen/>
        <w:t>ния равновеликости и равносоставленности;</w:t>
      </w:r>
    </w:p>
    <w:p>
      <w:pPr>
        <w:pStyle w:val="Normal"/>
        <w:autoSpaceDE w:val="false"/>
        <w:spacing w:lineRule="auto" w:line="240" w:before="0" w:after="0"/>
        <w:ind w:firstLine="567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4"/>
          <w:lang w:eastAsia="ru-RU"/>
        </w:rPr>
        <w:t xml:space="preserve">9) </w:t>
      </w:r>
      <w:r>
        <w:rPr>
          <w:rFonts w:cs="Times New Roman" w:ascii="Times New Roman" w:hAnsi="Times New Roman"/>
          <w:iCs/>
          <w:color w:val="000000"/>
          <w:sz w:val="28"/>
          <w:szCs w:val="24"/>
          <w:lang w:eastAsia="ru-RU"/>
        </w:rPr>
        <w:t>приобрести опыт применения алгебраического и триго</w:t>
        <w:softHyphen/>
        <w:t>нометрического аппарата и идей движения при решении задач на вычисление площадей многоугольников.</w:t>
      </w:r>
    </w:p>
    <w:p>
      <w:pPr>
        <w:pStyle w:val="Style261"/>
        <w:widowControl/>
        <w:ind w:left="1142" w:hanging="0"/>
        <w:jc w:val="center"/>
        <w:rPr>
          <w:rStyle w:val="FontStyle395"/>
          <w:rFonts w:ascii="Times New Roman" w:hAnsi="Times New Roman" w:cs="Times New Roman"/>
          <w:b w:val="false"/>
          <w:b w:val="false"/>
          <w:sz w:val="28"/>
          <w:szCs w:val="24"/>
        </w:rPr>
      </w:pPr>
      <w:r>
        <w:rPr>
          <w:rFonts w:cs="Times New Roman" w:ascii="Times New Roman" w:hAnsi="Times New Roman"/>
          <w:b/>
          <w:spacing w:val="2"/>
          <w:sz w:val="28"/>
          <w:szCs w:val="28"/>
          <w:lang w:eastAsia="ar-SA"/>
        </w:rPr>
        <w:t>3.Содержание учебного предмета.</w:t>
      </w:r>
    </w:p>
    <w:p>
      <w:pPr>
        <w:pStyle w:val="Style261"/>
        <w:widowControl/>
        <w:ind w:left="1142" w:hanging="0"/>
        <w:jc w:val="center"/>
        <w:rPr>
          <w:rStyle w:val="FontStyle395"/>
          <w:rFonts w:ascii="Times New Roman" w:hAnsi="Times New Roman" w:cs="Times New Roman"/>
          <w:b w:val="false"/>
          <w:b w:val="false"/>
          <w:sz w:val="28"/>
          <w:szCs w:val="24"/>
        </w:rPr>
      </w:pPr>
      <w:r>
        <w:rPr/>
      </w:r>
    </w:p>
    <w:tbl>
      <w:tblPr>
        <w:tblW w:w="10466" w:type="dxa"/>
        <w:jc w:val="left"/>
        <w:tblInd w:w="-15" w:type="dxa"/>
        <w:tblBorders>
          <w:top w:val="single" w:sz="12" w:space="0" w:color="000000"/>
          <w:left w:val="single" w:sz="12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484"/>
        <w:gridCol w:w="8412"/>
        <w:gridCol w:w="1570"/>
      </w:tblGrid>
      <w:tr>
        <w:trPr>
          <w:trHeight w:val="592" w:hRule="atLeast"/>
        </w:trPr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4"/>
              </w:rPr>
              <w:t>№</w:t>
            </w:r>
          </w:p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§</w:t>
            </w:r>
          </w:p>
        </w:tc>
        <w:tc>
          <w:tcPr>
            <w:tcW w:w="84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Содержание материала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Кол-во</w:t>
            </w:r>
          </w:p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час</w:t>
            </w:r>
          </w:p>
        </w:tc>
      </w:tr>
      <w:tr>
        <w:trPr>
          <w:trHeight w:val="388" w:hRule="atLeast"/>
        </w:trPr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/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Повторение курса геометрии 7 класса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2</w:t>
            </w:r>
          </w:p>
        </w:tc>
      </w:tr>
      <w:tr>
        <w:trPr>
          <w:trHeight w:val="394" w:hRule="atLeast"/>
        </w:trPr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Глава V. Четырехугольники (14ч)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</w:tr>
      <w:tr>
        <w:trPr>
          <w:trHeight w:val="279" w:hRule="atLeast"/>
        </w:trPr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Многоугольники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Параллелограмм и трапеция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Прямоугольник. Ромб. Квадрат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 xml:space="preserve">Контрольная работа №1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Глава VI. Площадь (14 ч)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Площадь многоугольника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Площади параллелограмма, тре</w:t>
            </w: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угольника и трапеции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Теорема Пифагора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Глава VII. Подобные треугольники (19 ч)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Определение подобных треуголь</w:t>
            </w: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ников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Признаки подобия треугольников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Соотношения между сторонами и углами прямоугольного тре</w:t>
            </w: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угольника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spacing w:before="0" w:after="200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Глава VIII. Окружность (17 ч)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snapToGrid w:val="false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spacing w:before="0" w:after="200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3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Spacing"/>
              <w:suppressAutoHyphens w:val="true"/>
              <w:ind w:right="-99" w:hanging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2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Центральные и вписанные углы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4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Spacing"/>
              <w:suppressAutoHyphens w:val="true"/>
              <w:ind w:left="-142" w:right="-99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en-US"/>
              </w:rPr>
              <w:t>3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 xml:space="preserve">Четыре замечательные точки </w:t>
            </w: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треугольника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3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Spacing"/>
              <w:suppressAutoHyphens w:val="true"/>
              <w:ind w:left="-142" w:right="-99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en-US"/>
              </w:rPr>
              <w:t>4</w:t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true"/>
              <w:autoSpaceDE w:val="false"/>
              <w:spacing w:lineRule="auto" w:line="240" w:before="0" w:after="0"/>
              <w:rPr>
                <w:rFonts w:ascii="Times New Roman" w:hAnsi="Times New Roman" w:eastAsia="Newton-Regular;Arial Unicode MS" w:cs="Times New Roman"/>
                <w:sz w:val="28"/>
                <w:szCs w:val="24"/>
                <w:lang w:eastAsia="ru-RU"/>
              </w:rPr>
            </w:pPr>
            <w:r>
              <w:rPr>
                <w:rFonts w:eastAsia="Newton-Regular;Arial Unicode MS" w:cs="Times New Roman" w:ascii="Times New Roman" w:hAnsi="Times New Roman"/>
                <w:sz w:val="28"/>
                <w:szCs w:val="24"/>
                <w:lang w:eastAsia="ru-RU"/>
              </w:rPr>
              <w:t>Вписанная и описанная окруж</w:t>
            </w:r>
            <w:r>
              <w:rPr>
                <w:rFonts w:eastAsia="Newton-Regular;Arial Unicode MS" w:cs="Times New Roman" w:ascii="Times New Roman" w:hAnsi="Times New Roman"/>
                <w:sz w:val="28"/>
                <w:szCs w:val="24"/>
              </w:rPr>
              <w:t>ности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4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Spacing"/>
              <w:suppressAutoHyphens w:val="true"/>
              <w:snapToGrid w:val="false"/>
              <w:ind w:left="-142" w:right="-99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Spacing"/>
              <w:suppressAutoHyphens w:val="true"/>
              <w:snapToGrid w:val="false"/>
              <w:ind w:right="-99" w:hanging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 5( Промежуточная аттестация)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1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snapToGrid w:val="false"/>
              <w:ind w:left="-142" w:right="-99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Повторение. Решение задач</w:t>
            </w:r>
          </w:p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  <w:insideH w:val="single" w:sz="12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4</w:t>
            </w:r>
          </w:p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</w:tr>
      <w:tr>
        <w:trPr/>
        <w:tc>
          <w:tcPr>
            <w:tcW w:w="889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FFFFFF" w:val="clear"/>
            <w:tcMar>
              <w:left w:w="93" w:type="dxa"/>
            </w:tcMar>
          </w:tcPr>
          <w:p>
            <w:pPr>
              <w:pStyle w:val="NoSpacing"/>
              <w:suppressAutoHyphens w:val="true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ИТОГО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  <w:insideH w:val="single" w:sz="12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Spacing"/>
              <w:suppressAutoHyphens w:val="true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70</w:t>
            </w:r>
          </w:p>
        </w:tc>
      </w:tr>
    </w:tbl>
    <w:p>
      <w:pPr>
        <w:pStyle w:val="Style26"/>
        <w:widowControl w:val="false"/>
        <w:ind w:left="0" w:right="527" w:hanging="0"/>
        <w:rPr>
          <w:bCs/>
          <w:sz w:val="28"/>
        </w:rPr>
      </w:pPr>
      <w:r>
        <w:rPr>
          <w:bCs/>
          <w:sz w:val="28"/>
        </w:rPr>
      </w:r>
    </w:p>
    <w:p>
      <w:pPr>
        <w:pStyle w:val="Normal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lang w:eastAsia="ar-SA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lang w:eastAsia="ar-SA"/>
        </w:rPr>
        <w:t>4.Тематическое планирование с указанием часов на освоение каждой темы.</w:t>
      </w:r>
    </w:p>
    <w:tbl>
      <w:tblPr>
        <w:tblW w:w="10642" w:type="dxa"/>
        <w:jc w:val="left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93"/>
        <w:gridCol w:w="1134"/>
        <w:gridCol w:w="8515"/>
      </w:tblGrid>
      <w:tr>
        <w:trPr>
          <w:trHeight w:val="570" w:hRule="atLeast"/>
          <w:cantSplit w:val="true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п/п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Дата</w:t>
            </w:r>
          </w:p>
        </w:tc>
        <w:tc>
          <w:tcPr>
            <w:tcW w:w="8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Тема раздела, тема урока </w:t>
            </w:r>
          </w:p>
        </w:tc>
      </w:tr>
      <w:tr>
        <w:trPr>
          <w:trHeight w:val="570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ind w:left="-108" w:right="-108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</w:tr>
      <w:tr>
        <w:trPr>
          <w:trHeight w:val="570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  <w:tc>
          <w:tcPr>
            <w:tcW w:w="8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</w:r>
          </w:p>
        </w:tc>
      </w:tr>
      <w:tr>
        <w:trPr>
          <w:trHeight w:val="277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3.09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Повторение</w:t>
            </w:r>
          </w:p>
        </w:tc>
      </w:tr>
      <w:tr>
        <w:trPr>
          <w:trHeight w:val="277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5.09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Повторение</w:t>
            </w:r>
          </w:p>
        </w:tc>
      </w:tr>
      <w:tr>
        <w:trPr>
          <w:trHeight w:val="277" w:hRule="atLeast"/>
        </w:trPr>
        <w:tc>
          <w:tcPr>
            <w:tcW w:w="10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Глава V. Четырехугольники (14ч)</w:t>
            </w:r>
          </w:p>
        </w:tc>
      </w:tr>
      <w:tr>
        <w:trPr>
          <w:trHeight w:val="51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10.09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Многоугольники</w:t>
            </w:r>
          </w:p>
        </w:tc>
      </w:tr>
      <w:tr>
        <w:trPr>
          <w:trHeight w:val="41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Многоугольники</w:t>
            </w:r>
          </w:p>
        </w:tc>
      </w:tr>
      <w:tr>
        <w:trPr>
          <w:trHeight w:val="462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Параллелограмм</w:t>
            </w:r>
          </w:p>
        </w:tc>
      </w:tr>
      <w:tr>
        <w:trPr>
          <w:trHeight w:val="498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Признаки параллелограмма</w:t>
            </w:r>
          </w:p>
        </w:tc>
      </w:tr>
      <w:tr>
        <w:trPr>
          <w:trHeight w:val="534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46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то теме «Параллелограмм».</w:t>
            </w:r>
          </w:p>
        </w:tc>
      </w:tr>
      <w:tr>
        <w:trPr>
          <w:trHeight w:val="414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26.09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-96" w:firstLine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Трапеция.</w:t>
            </w:r>
          </w:p>
        </w:tc>
      </w:tr>
      <w:tr>
        <w:trPr>
          <w:trHeight w:val="44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Теорема Фалеса. </w:t>
            </w:r>
          </w:p>
        </w:tc>
      </w:tr>
      <w:tr>
        <w:trPr>
          <w:trHeight w:val="49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Задачи на построение</w:t>
            </w:r>
          </w:p>
        </w:tc>
      </w:tr>
      <w:tr>
        <w:trPr>
          <w:trHeight w:val="53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87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Прямоугольник.</w:t>
            </w:r>
          </w:p>
        </w:tc>
      </w:tr>
      <w:tr>
        <w:trPr>
          <w:trHeight w:val="5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Ромб. Квадрат</w:t>
            </w:r>
          </w:p>
        </w:tc>
      </w:tr>
      <w:tr>
        <w:trPr>
          <w:trHeight w:val="56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</w:tr>
      <w:tr>
        <w:trPr>
          <w:trHeight w:val="54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Осевая и центральная симметрии</w:t>
            </w:r>
          </w:p>
        </w:tc>
      </w:tr>
      <w:tr>
        <w:trPr>
          <w:trHeight w:val="55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</w:tr>
      <w:tr>
        <w:trPr>
          <w:trHeight w:val="57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24.10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№1 по теме: «Четырёхугольники»</w:t>
            </w:r>
          </w:p>
        </w:tc>
      </w:tr>
      <w:tr>
        <w:trPr>
          <w:trHeight w:val="55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многоугольника.</w:t>
            </w:r>
          </w:p>
        </w:tc>
      </w:tr>
      <w:tr>
        <w:trPr>
          <w:trHeight w:val="556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многоугольника.</w:t>
            </w:r>
          </w:p>
        </w:tc>
      </w:tr>
      <w:tr>
        <w:trPr>
          <w:trHeight w:val="56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параллелограмма</w:t>
            </w:r>
          </w:p>
        </w:tc>
      </w:tr>
      <w:tr>
        <w:trPr>
          <w:trHeight w:val="544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треугольника</w:t>
            </w:r>
          </w:p>
        </w:tc>
      </w:tr>
      <w:tr>
        <w:trPr>
          <w:trHeight w:val="57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треугольника</w:t>
            </w:r>
          </w:p>
        </w:tc>
      </w:tr>
      <w:tr>
        <w:trPr>
          <w:trHeight w:val="546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Площадь трапеции</w:t>
            </w:r>
          </w:p>
        </w:tc>
      </w:tr>
      <w:tr>
        <w:trPr>
          <w:trHeight w:val="554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на вычисление площадей фигур</w:t>
            </w:r>
          </w:p>
        </w:tc>
      </w:tr>
      <w:tr>
        <w:trPr>
          <w:trHeight w:val="56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28.11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на вычисление площадей фигур</w:t>
            </w:r>
          </w:p>
        </w:tc>
      </w:tr>
      <w:tr>
        <w:trPr>
          <w:trHeight w:val="41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Теорема Пифагора</w:t>
            </w:r>
          </w:p>
        </w:tc>
      </w:tr>
      <w:tr>
        <w:trPr>
          <w:trHeight w:val="59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5.12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Теорема, обратная теореме Пифагора.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trHeight w:val="63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10.12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Решение задач </w:t>
            </w:r>
          </w:p>
        </w:tc>
      </w:tr>
      <w:tr>
        <w:trPr>
          <w:trHeight w:val="56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12.12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</w:t>
            </w:r>
          </w:p>
        </w:tc>
      </w:tr>
      <w:tr>
        <w:trPr>
          <w:trHeight w:val="54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17.12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№2 по теме: «Площади»</w:t>
            </w:r>
          </w:p>
        </w:tc>
      </w:tr>
      <w:tr>
        <w:trPr>
          <w:trHeight w:val="41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Определение подобных     треугольников</w:t>
            </w:r>
          </w:p>
        </w:tc>
      </w:tr>
      <w:tr>
        <w:trPr>
          <w:trHeight w:val="46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Отношение площадей подобных треугольников. </w:t>
            </w:r>
          </w:p>
        </w:tc>
      </w:tr>
      <w:tr>
        <w:trPr>
          <w:trHeight w:val="50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26.12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46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Первый признак подобия треугольников.</w:t>
            </w:r>
          </w:p>
        </w:tc>
      </w:tr>
      <w:tr>
        <w:trPr>
          <w:trHeight w:val="52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46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на применение первого признака подобия треугольников.</w:t>
            </w:r>
          </w:p>
        </w:tc>
      </w:tr>
      <w:tr>
        <w:trPr>
          <w:trHeight w:val="54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Второй и третий признаки подобия треугольников.</w:t>
            </w:r>
          </w:p>
        </w:tc>
      </w:tr>
      <w:tr>
        <w:trPr>
          <w:trHeight w:val="55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Решение задач на применение признаков подобия треугольников. </w:t>
            </w:r>
          </w:p>
        </w:tc>
      </w:tr>
      <w:tr>
        <w:trPr>
          <w:trHeight w:val="54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на применение признаков подобия треугольников</w:t>
            </w:r>
          </w:p>
        </w:tc>
      </w:tr>
      <w:tr>
        <w:trPr>
          <w:trHeight w:val="55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 3 по теме «Подобные треугольники»</w:t>
            </w:r>
          </w:p>
        </w:tc>
      </w:tr>
      <w:tr>
        <w:trPr>
          <w:trHeight w:val="436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30.01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Средняя линия треугольника</w:t>
            </w:r>
          </w:p>
        </w:tc>
      </w:tr>
      <w:tr>
        <w:trPr>
          <w:trHeight w:val="472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Средняя линия треугольника</w:t>
            </w:r>
          </w:p>
        </w:tc>
      </w:tr>
      <w:tr>
        <w:trPr>
          <w:trHeight w:val="494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Свойство медиан треугольника</w:t>
            </w:r>
          </w:p>
        </w:tc>
      </w:tr>
      <w:tr>
        <w:trPr>
          <w:trHeight w:val="698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Пропорциональные отрезки</w:t>
            </w:r>
          </w:p>
        </w:tc>
      </w:tr>
      <w:tr>
        <w:trPr>
          <w:trHeight w:val="5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Пропорциональные отрезки в прямоугольном треугольнике</w:t>
            </w:r>
          </w:p>
        </w:tc>
      </w:tr>
      <w:tr>
        <w:trPr>
          <w:trHeight w:val="422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Измерительные работы на местности.</w:t>
            </w:r>
          </w:p>
        </w:tc>
      </w:tr>
      <w:tr>
        <w:trPr>
          <w:trHeight w:val="586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Задачи на построение методом подобия.</w:t>
            </w:r>
          </w:p>
        </w:tc>
      </w:tr>
      <w:tr>
        <w:trPr>
          <w:trHeight w:val="578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Синус, косинус и тангенс острого угла прямоугольного треугольника</w:t>
            </w:r>
          </w:p>
        </w:tc>
      </w:tr>
      <w:tr>
        <w:trPr>
          <w:trHeight w:val="55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27.02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Значения синуса, косинуса и тангенса для углов 30</w:t>
            </w:r>
            <w:r>
              <w:rPr>
                <w:rFonts w:cs="Times New Roman" w:ascii="Times New Roman" w:hAnsi="Times New Roman"/>
                <w:sz w:val="28"/>
                <w:szCs w:val="24"/>
                <w:vertAlign w:val="superscript"/>
              </w:rPr>
              <w:t>0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, 45</w:t>
            </w:r>
            <w:r>
              <w:rPr>
                <w:rFonts w:cs="Times New Roman" w:ascii="Times New Roman" w:hAnsi="Times New Roman"/>
                <w:sz w:val="28"/>
                <w:szCs w:val="24"/>
                <w:vertAlign w:val="superscript"/>
              </w:rPr>
              <w:t>0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, 60</w:t>
            </w:r>
            <w:r>
              <w:rPr>
                <w:rFonts w:cs="Times New Roman" w:ascii="Times New Roman" w:hAnsi="Times New Roman"/>
                <w:sz w:val="28"/>
                <w:szCs w:val="24"/>
                <w:vertAlign w:val="superscript"/>
              </w:rPr>
              <w:t>0</w:t>
            </w:r>
          </w:p>
        </w:tc>
      </w:tr>
      <w:tr>
        <w:trPr>
          <w:trHeight w:val="55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46" w:hanging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Соотношения между сторонами и углами прямоугольного треугольника. Решение задач.</w:t>
            </w:r>
          </w:p>
        </w:tc>
      </w:tr>
      <w:tr>
        <w:trPr>
          <w:trHeight w:val="54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 xml:space="preserve">Контрольная работа №4 по теме: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«Соотношения между сторонами и углами прямоугольного треугольника»</w:t>
            </w:r>
          </w:p>
        </w:tc>
      </w:tr>
      <w:tr>
        <w:trPr>
          <w:trHeight w:val="27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Взаимное расположение прямой и окружности.</w:t>
            </w:r>
          </w:p>
        </w:tc>
      </w:tr>
      <w:tr>
        <w:trPr>
          <w:trHeight w:val="59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Касательная к окружности.</w:t>
            </w:r>
          </w:p>
        </w:tc>
      </w:tr>
      <w:tr>
        <w:trPr>
          <w:trHeight w:val="40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Касательная к окружности. Решение задач.     </w:t>
            </w:r>
          </w:p>
        </w:tc>
      </w:tr>
      <w:tr>
        <w:trPr>
          <w:trHeight w:val="45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19.03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Градусная мера дуги окружности</w:t>
            </w:r>
          </w:p>
        </w:tc>
      </w:tr>
      <w:tr>
        <w:trPr>
          <w:trHeight w:val="49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31.03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Теорема о вписанном угле</w:t>
            </w:r>
          </w:p>
        </w:tc>
      </w:tr>
      <w:tr>
        <w:trPr>
          <w:trHeight w:val="54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Теорема об отрезках пересекающихся хорд</w:t>
            </w:r>
          </w:p>
        </w:tc>
      </w:tr>
      <w:tr>
        <w:trPr>
          <w:trHeight w:val="54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по теме «Центральные и вписанные углы»</w:t>
            </w:r>
          </w:p>
        </w:tc>
      </w:tr>
      <w:tr>
        <w:trPr>
          <w:trHeight w:val="5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5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Свойство биссектрисы угла</w:t>
            </w:r>
          </w:p>
        </w:tc>
      </w:tr>
      <w:tr>
        <w:trPr>
          <w:trHeight w:val="40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Серединный перпендикуляр</w:t>
            </w:r>
          </w:p>
        </w:tc>
      </w:tr>
      <w:tr>
        <w:trPr>
          <w:trHeight w:val="60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Теорема о точке пересечения высот треугольника. </w:t>
            </w:r>
          </w:p>
        </w:tc>
      </w:tr>
      <w:tr>
        <w:trPr>
          <w:trHeight w:val="695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Свойство биссектрисы угла</w:t>
            </w:r>
          </w:p>
        </w:tc>
      </w:tr>
      <w:tr>
        <w:trPr>
          <w:trHeight w:val="40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Серединный перпендикуляр</w:t>
            </w:r>
          </w:p>
        </w:tc>
      </w:tr>
      <w:tr>
        <w:trPr>
          <w:trHeight w:val="4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Теорема о точке пересечения высот треугольника</w:t>
            </w:r>
          </w:p>
        </w:tc>
      </w:tr>
      <w:tr>
        <w:trPr>
          <w:trHeight w:val="49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30.04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Вписанная окружность</w:t>
            </w:r>
          </w:p>
        </w:tc>
      </w:tr>
      <w:tr>
        <w:trPr>
          <w:trHeight w:val="401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Свойство описанного четырехугольника.</w:t>
            </w:r>
          </w:p>
        </w:tc>
      </w:tr>
      <w:tr>
        <w:trPr>
          <w:trHeight w:val="42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по теме «Окружность».</w:t>
            </w:r>
          </w:p>
        </w:tc>
      </w:tr>
      <w:tr>
        <w:trPr>
          <w:trHeight w:val="5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по теме «Окружность».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trHeight w:val="557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4"/>
              </w:rPr>
              <w:t>Контрольная работа № 5 по теме: «Окружность»</w:t>
            </w:r>
          </w:p>
        </w:tc>
      </w:tr>
      <w:tr>
        <w:trPr>
          <w:trHeight w:val="563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6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7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Повторение. </w:t>
            </w:r>
          </w:p>
        </w:tc>
      </w:tr>
      <w:tr>
        <w:trPr>
          <w:trHeight w:val="649" w:hRule="atLeast"/>
          <w:cantSplit w:val="true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Повторение. </w:t>
            </w:r>
          </w:p>
        </w:tc>
      </w:tr>
      <w:tr>
        <w:trPr>
          <w:trHeight w:val="560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69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28.05</w:t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Повторение.</w:t>
            </w:r>
          </w:p>
        </w:tc>
      </w:tr>
      <w:tr>
        <w:trPr>
          <w:trHeight w:val="277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ind w:left="-108" w:hang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8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Повторение. 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 xml:space="preserve"> </w:t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4"/>
        </w:rPr>
        <w:t>Требуется коррекция расписания на 1 час в мае 2020 года.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</w:r>
    </w:p>
    <w:p>
      <w:pPr>
        <w:pStyle w:val="Normal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  <w:t>Список литературы, используемый для составления рабочей программы.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numPr>
          <w:ilvl w:val="0"/>
          <w:numId w:val="5"/>
        </w:numPr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Л. С. Атанасян, В. Ф. Бутузов. С. Б. Кадомцев, Э. Г. Позняк, И. И. Юдина. Геометрия 7-9 классы: учеб. для общеобразоват. учреждений – 21-е изд.-М.: Просвещение, 2011г.</w:t>
      </w:r>
    </w:p>
    <w:p>
      <w:pPr>
        <w:pStyle w:val="Normal"/>
        <w:numPr>
          <w:ilvl w:val="0"/>
          <w:numId w:val="5"/>
        </w:numPr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Н.Ф.Гаврилова. универсальные поурочные разработки по геометрии: 7 класс. -2-е изд., перераб. И доп. – М.: ВАКО, 2011г.</w:t>
      </w:r>
    </w:p>
    <w:p>
      <w:pPr>
        <w:pStyle w:val="Normal"/>
        <w:numPr>
          <w:ilvl w:val="0"/>
          <w:numId w:val="5"/>
        </w:numPr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Геометрия. Тематические тесты.7 класс./ Т.М.Тищенко, А.Д. Блинков. – М.: Просвещение, 2008.</w:t>
      </w:r>
    </w:p>
    <w:p>
      <w:pPr>
        <w:pStyle w:val="Normal"/>
        <w:numPr>
          <w:ilvl w:val="0"/>
          <w:numId w:val="5"/>
        </w:numPr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Контрольные работы по геометрии: 7 класс: к учебнику Л.С.Атанасяна, В.Ф.Бутузова и др. «Геометрия 7-9»/ Н.Б. Мельникова. –М.: Издательство «Экзамен», 2009.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footerReference w:type="even" r:id="rId6"/>
      <w:footerReference w:type="default" r:id="rId7"/>
      <w:type w:val="nextPage"/>
      <w:pgSz w:w="11906" w:h="16838"/>
      <w:pgMar w:left="709" w:right="426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Segoe UI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  <w:fldChar w:fldCharType="begin"/>
    </w:r>
    <w:r>
      <w:instrText> PAGE </w:instrText>
    </w:r>
    <w:r>
      <w:fldChar w:fldCharType="separate"/>
    </w:r>
    <w:r>
      <w:t>10</w:t>
    </w:r>
    <w:r>
      <w:fldChar w:fldCharType="end"/>
    </w:r>
  </w:p>
  <w:p>
    <w:pPr>
      <w:pStyle w:val="Style27"/>
      <w:spacing w:before="0" w:after="200"/>
      <w:ind w:right="360" w:firstLine="3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  <w:fldChar w:fldCharType="begin"/>
    </w:r>
    <w:r>
      <w:instrText> PAGE </w:instrText>
    </w:r>
    <w:r>
      <w:fldChar w:fldCharType="separate"/>
    </w:r>
    <w:r>
      <w:t>11</w:t>
    </w:r>
    <w:r>
      <w:fldChar w:fldCharType="end"/>
    </w:r>
  </w:p>
  <w:p>
    <w:pPr>
      <w:pStyle w:val="Normal"/>
      <w:widowControl/>
      <w:suppressAutoHyphens w:val="false"/>
      <w:bidi w:val="0"/>
      <w:spacing w:lineRule="auto" w:line="276" w:before="0" w:after="20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4">
    <w:lvl w:ilvl="0">
      <w:start w:val="5"/>
      <w:numFmt w:val="decimal"/>
      <w:lvlText w:val="%1."/>
      <w:lvlJc w:val="left"/>
      <w:pPr>
        <w:ind w:left="785" w:hanging="360"/>
      </w:pPr>
      <w:rPr>
        <w:color w:val="000000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evenAndOddHeaders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lineRule="auto" w:line="256" w:before="240" w:after="60"/>
      <w:outlineLvl w:val="0"/>
      <w:outlineLvl w:val="0"/>
    </w:pPr>
    <w:rPr>
      <w:rFonts w:ascii="Cambria" w:hAnsi="Cambria" w:cs="Times New Roman"/>
      <w:b/>
      <w:bCs/>
      <w:sz w:val="32"/>
      <w:szCs w:val="32"/>
      <w:lang w:val="ru-RU"/>
    </w:rPr>
  </w:style>
  <w:style w:type="paragraph" w:styleId="3">
    <w:name w:val="Heading 3"/>
    <w:basedOn w:val="Normal"/>
    <w:next w:val="Style22"/>
    <w:qFormat/>
    <w:pPr>
      <w:numPr>
        <w:ilvl w:val="2"/>
        <w:numId w:val="1"/>
      </w:numPr>
      <w:spacing w:lineRule="auto" w:line="240" w:before="0" w:after="180"/>
      <w:outlineLvl w:val="2"/>
      <w:outlineLvl w:val="2"/>
    </w:pPr>
    <w:rPr>
      <w:rFonts w:ascii="Times New Roman" w:hAnsi="Times New Roman" w:cs="Times New Roman"/>
      <w:b/>
      <w:bCs/>
      <w:sz w:val="29"/>
      <w:szCs w:val="29"/>
      <w:lang w:val="ru-RU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Wingdings" w:hAnsi="Wingdings" w:cs="Wingdings"/>
      <w:color w:val="000000"/>
      <w:u w:val="none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Times New Roman" w:hAnsi="Times New Roman" w:eastAsia="MS Mincho;ＭＳ 明朝" w:cs="Times New Roman"/>
      <w:color w:val="000000"/>
      <w:w w:val="95"/>
      <w:sz w:val="25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Times New Roman" w:hAnsi="Times New Roman" w:eastAsia="Times New Roman" w:cs="Times New Roman"/>
      <w:b w:val="false"/>
      <w:i w:val="false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cs="Times New Roman"/>
    </w:rPr>
  </w:style>
  <w:style w:type="character" w:styleId="WW8Num17z1">
    <w:name w:val="WW8Num17z1"/>
    <w:qFormat/>
    <w:rPr>
      <w:rFonts w:cs="Times New Roman"/>
    </w:rPr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color w:val="000000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cs="Times New Roman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Times New Roman" w:hAnsi="Times New Roman" w:eastAsia="Times New Roman" w:cs="Times New Roman"/>
      <w:b w:val="false"/>
      <w:i w:val="false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4z3">
    <w:name w:val="WW8Num24z3"/>
    <w:qFormat/>
    <w:rPr>
      <w:rFonts w:ascii="Symbol" w:hAnsi="Symbol" w:cs="Symbol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cs="Times New Roman"/>
    </w:rPr>
  </w:style>
  <w:style w:type="character" w:styleId="WW8Num26z1">
    <w:name w:val="WW8Num26z1"/>
    <w:qFormat/>
    <w:rPr>
      <w:rFonts w:cs="Times New Roman"/>
    </w:rPr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Symbol" w:hAnsi="Symbol" w:cs="Symbol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/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ascii="Symbol" w:hAnsi="Symbol" w:cs="Symbol"/>
    </w:rPr>
  </w:style>
  <w:style w:type="character" w:styleId="WW8Num37z1">
    <w:name w:val="WW8Num37z1"/>
    <w:qFormat/>
    <w:rPr>
      <w:rFonts w:ascii="Courier New" w:hAnsi="Courier New" w:cs="Courier New"/>
    </w:rPr>
  </w:style>
  <w:style w:type="character" w:styleId="WW8Num37z2">
    <w:name w:val="WW8Num37z2"/>
    <w:qFormat/>
    <w:rPr>
      <w:rFonts w:ascii="Wingdings" w:hAnsi="Wingdings" w:cs="Wingdings"/>
    </w:rPr>
  </w:style>
  <w:style w:type="character" w:styleId="WW8Num38z0">
    <w:name w:val="WW8Num38z0"/>
    <w:qFormat/>
    <w:rPr>
      <w:rFonts w:ascii="Symbol" w:hAnsi="Symbol" w:cs="Symbol"/>
    </w:rPr>
  </w:style>
  <w:style w:type="character" w:styleId="WW8Num38z1">
    <w:name w:val="WW8Num38z1"/>
    <w:qFormat/>
    <w:rPr>
      <w:rFonts w:ascii="Courier New" w:hAnsi="Courier New" w:cs="Courier New"/>
    </w:rPr>
  </w:style>
  <w:style w:type="character" w:styleId="WW8Num38z2">
    <w:name w:val="WW8Num38z2"/>
    <w:qFormat/>
    <w:rPr>
      <w:rFonts w:ascii="Wingdings" w:hAnsi="Wingdings" w:cs="Wingdings"/>
    </w:rPr>
  </w:style>
  <w:style w:type="character" w:styleId="WW8Num39z0">
    <w:name w:val="WW8Num39z0"/>
    <w:qFormat/>
    <w:rPr>
      <w:rFonts w:cs="Times New Roman"/>
    </w:rPr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>
      <w:rFonts w:ascii="Symbol" w:hAnsi="Symbol" w:cs="Symbol"/>
    </w:rPr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Style12">
    <w:name w:val="Основной шрифт абзаца"/>
    <w:qFormat/>
    <w:rPr/>
  </w:style>
  <w:style w:type="character" w:styleId="Style13">
    <w:name w:val="Интернет-ссылка"/>
    <w:rPr>
      <w:rFonts w:cs="Times New Roman"/>
      <w:color w:val="0000FF"/>
      <w:u w:val="single"/>
    </w:rPr>
  </w:style>
  <w:style w:type="character" w:styleId="Style14">
    <w:name w:val="Номер страницы"/>
    <w:basedOn w:val="Style12"/>
    <w:rPr/>
  </w:style>
  <w:style w:type="character" w:styleId="Style15">
    <w:name w:val="Верхний колонтитул Знак"/>
    <w:qFormat/>
    <w:rPr>
      <w:rFonts w:eastAsia="Times New Roman" w:cs="Calibri"/>
      <w:sz w:val="22"/>
      <w:szCs w:val="22"/>
    </w:rPr>
  </w:style>
  <w:style w:type="character" w:styleId="Style16">
    <w:name w:val="Нижний колонтитул Знак"/>
    <w:qFormat/>
    <w:rPr>
      <w:rFonts w:eastAsia="Times New Roman" w:cs="Calibri"/>
      <w:sz w:val="22"/>
      <w:szCs w:val="22"/>
    </w:rPr>
  </w:style>
  <w:style w:type="character" w:styleId="31">
    <w:name w:val="Заголовок 3 Знак"/>
    <w:qFormat/>
    <w:rPr>
      <w:rFonts w:ascii="Times New Roman" w:hAnsi="Times New Roman" w:eastAsia="Times New Roman" w:cs="Times New Roman"/>
      <w:b/>
      <w:bCs/>
      <w:sz w:val="29"/>
      <w:szCs w:val="29"/>
    </w:rPr>
  </w:style>
  <w:style w:type="character" w:styleId="11">
    <w:name w:val="Заголовок 1 Знак"/>
    <w:qFormat/>
    <w:rPr>
      <w:rFonts w:ascii="Cambria" w:hAnsi="Cambria" w:eastAsia="Times New Roman" w:cs="Cambria"/>
      <w:b/>
      <w:bCs/>
      <w:sz w:val="32"/>
      <w:szCs w:val="32"/>
    </w:rPr>
  </w:style>
  <w:style w:type="character" w:styleId="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8"/>
    </w:rPr>
  </w:style>
  <w:style w:type="character" w:styleId="Style17">
    <w:name w:val="Выделение жирным"/>
    <w:qFormat/>
    <w:rPr>
      <w:b/>
      <w:bCs/>
    </w:rPr>
  </w:style>
  <w:style w:type="character" w:styleId="Style18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9">
    <w:name w:val="Без интервала Знак"/>
    <w:qFormat/>
    <w:rPr>
      <w:rFonts w:eastAsia="Times New Roman"/>
      <w:sz w:val="22"/>
      <w:szCs w:val="22"/>
      <w:lang w:bidi="ar-SA"/>
    </w:rPr>
  </w:style>
  <w:style w:type="character" w:styleId="FontStyle395">
    <w:name w:val="Font Style395"/>
    <w:qFormat/>
    <w:rPr>
      <w:rFonts w:ascii="Segoe UI" w:hAnsi="Segoe UI" w:cs="Segoe UI"/>
      <w:b/>
      <w:bCs/>
      <w:color w:val="000000"/>
      <w:spacing w:val="-10"/>
      <w:sz w:val="26"/>
      <w:szCs w:val="26"/>
    </w:rPr>
  </w:style>
  <w:style w:type="character" w:styleId="Style20">
    <w:name w:val="Выделение"/>
    <w:qFormat/>
    <w:rPr>
      <w:i/>
      <w:iCs/>
    </w:rPr>
  </w:style>
  <w:style w:type="paragraph" w:styleId="Style21">
    <w:name w:val="Заголовок"/>
    <w:basedOn w:val="Normal"/>
    <w:next w:val="Style22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2">
    <w:name w:val="Body Text"/>
    <w:basedOn w:val="Normal"/>
    <w:pPr>
      <w:spacing w:lineRule="auto" w:line="288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Цитата"/>
    <w:basedOn w:val="Normal"/>
    <w:qFormat/>
    <w:pPr>
      <w:spacing w:lineRule="auto" w:line="240" w:before="0" w:after="0"/>
      <w:ind w:left="57" w:right="57" w:firstLine="720"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NoSpacing">
    <w:name w:val="No Spacing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7">
    <w:name w:val="Footer"/>
    <w:basedOn w:val="Normal"/>
    <w:pPr>
      <w:tabs>
        <w:tab w:val="center" w:pos="4677" w:leader="none"/>
        <w:tab w:val="right" w:pos="9355" w:leader="none"/>
      </w:tabs>
    </w:pPr>
    <w:rPr>
      <w:rFonts w:cs="Times New Roman"/>
      <w:lang w:val="ru-RU"/>
    </w:rPr>
  </w:style>
  <w:style w:type="paragraph" w:styleId="Style28">
    <w:name w:val="Header"/>
    <w:basedOn w:val="Normal"/>
    <w:pPr>
      <w:tabs>
        <w:tab w:val="center" w:pos="4677" w:leader="none"/>
        <w:tab w:val="right" w:pos="9355" w:leader="none"/>
      </w:tabs>
    </w:pPr>
    <w:rPr>
      <w:rFonts w:cs="Times New Roman"/>
      <w:lang w:val="ru-RU"/>
    </w:rPr>
  </w:style>
  <w:style w:type="paragraph" w:styleId="Style29">
    <w:name w:val="Абзац списка"/>
    <w:basedOn w:val="Normal"/>
    <w:qFormat/>
    <w:pPr>
      <w:spacing w:lineRule="auto" w:line="256" w:before="0" w:after="160"/>
      <w:ind w:left="720" w:hanging="0"/>
    </w:pPr>
    <w:rPr>
      <w:rFonts w:ascii="Times New Roman" w:hAnsi="Times New Roman" w:eastAsia="Calibri" w:cs="Times New Roman"/>
      <w:sz w:val="28"/>
      <w:szCs w:val="28"/>
    </w:rPr>
  </w:style>
  <w:style w:type="paragraph" w:styleId="21">
    <w:name w:val="Основной текст с отступом 2"/>
    <w:basedOn w:val="Normal"/>
    <w:qFormat/>
    <w:pPr>
      <w:spacing w:lineRule="auto" w:line="360" w:before="0" w:after="0"/>
      <w:ind w:firstLine="709"/>
      <w:jc w:val="both"/>
    </w:pPr>
    <w:rPr>
      <w:rFonts w:ascii="Times New Roman" w:hAnsi="Times New Roman" w:cs="Times New Roman"/>
      <w:sz w:val="28"/>
      <w:szCs w:val="28"/>
      <w:lang w:val="ru-RU"/>
    </w:rPr>
  </w:style>
  <w:style w:type="paragraph" w:styleId="Style30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cs="Times New Roman"/>
      <w:sz w:val="24"/>
      <w:szCs w:val="24"/>
    </w:rPr>
  </w:style>
  <w:style w:type="paragraph" w:styleId="Style31">
    <w:name w:val="Текст выноски"/>
    <w:basedOn w:val="Normal"/>
    <w:qFormat/>
    <w:pPr>
      <w:spacing w:lineRule="auto" w:line="240" w:before="0" w:after="0"/>
    </w:pPr>
    <w:rPr>
      <w:rFonts w:ascii="Tahoma" w:hAnsi="Tahoma" w:eastAsia="Calibri" w:cs="Times New Roman"/>
      <w:sz w:val="16"/>
      <w:szCs w:val="16"/>
      <w:lang w:val="ru-RU"/>
    </w:rPr>
  </w:style>
  <w:style w:type="paragraph" w:styleId="Style32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131">
    <w:name w:val="Style13"/>
    <w:basedOn w:val="Normal"/>
    <w:qFormat/>
    <w:pPr>
      <w:widowControl w:val="false"/>
      <w:autoSpaceDE w:val="false"/>
      <w:spacing w:lineRule="auto" w:line="240" w:before="0" w:after="0"/>
    </w:pPr>
    <w:rPr>
      <w:rFonts w:ascii="Times New Roman" w:hAnsi="Times New Roman" w:cs="Times New Roman"/>
      <w:sz w:val="24"/>
      <w:szCs w:val="24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Style261">
    <w:name w:val="Style261"/>
    <w:basedOn w:val="Normal"/>
    <w:qFormat/>
    <w:pPr>
      <w:widowControl w:val="false"/>
      <w:autoSpaceDE w:val="false"/>
      <w:spacing w:lineRule="auto" w:line="240" w:before="0" w:after="0"/>
      <w:jc w:val="both"/>
    </w:pPr>
    <w:rPr>
      <w:rFonts w:ascii="Segoe UI" w:hAnsi="Segoe UI" w:cs="Segoe UI"/>
      <w:sz w:val="24"/>
      <w:szCs w:val="24"/>
    </w:rPr>
  </w:style>
  <w:style w:type="paragraph" w:styleId="Style33">
    <w:name w:val="Содержимое таблицы"/>
    <w:basedOn w:val="Normal"/>
    <w:qFormat/>
    <w:pPr>
      <w:suppressLineNumbers/>
    </w:pPr>
    <w:rPr/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2014-11-30T08:31:00Z</dcterms:created>
  <dc:creator>XP GAME 2009</dc:creator>
  <dc:description/>
  <dc:language>ru-RU</dc:language>
  <cp:lastModifiedBy>Олег</cp:lastModifiedBy>
  <cp:lastPrinted>2018-10-19T12:42:00Z</cp:lastPrinted>
  <dcterms:modified xsi:type="dcterms:W3CDTF">2019-10-01T21:42:00Z</dcterms:modified>
  <cp:revision>164</cp:revision>
  <dc:subject/>
  <dc:title>Муниципальное казенное общеобразовательное учреждение</dc:title>
</cp:coreProperties>
</file>