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570865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ОГЛАСОВАНО: заместитель директора по учебно-воспитательной работе Сластихина Н.П. ______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 г.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160020</wp:posOffset>
                  </wp:positionV>
                  <wp:extent cx="1819275" cy="1683385"/>
                  <wp:effectExtent l="0" t="0" r="0" b="0"/>
                  <wp:wrapNone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1188720</wp:posOffset>
                  </wp:positionV>
                  <wp:extent cx="1914525" cy="1809750"/>
                  <wp:effectExtent l="0" t="0" r="0" b="0"/>
                  <wp:wrapNone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746760</wp:posOffset>
                  </wp:positionV>
                  <wp:extent cx="1811655" cy="150368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школа»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Ивченко О.В. ________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«30» августа 2019 г.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>
      <w:pPr>
        <w:pStyle w:val="Normal"/>
        <w:jc w:val="center"/>
        <w:rPr/>
      </w:pPr>
      <w:r>
        <w:rPr>
          <w:b/>
          <w:sz w:val="28"/>
          <w:szCs w:val="28"/>
        </w:rPr>
        <w:t>по предмету «мировая художественная культура» для учащихся 11 класса муниципального бюджетного общеобразовательного учреждения «Кириковская средняя школа»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>
          <w:sz w:val="28"/>
          <w:szCs w:val="28"/>
        </w:rPr>
        <w:t>Составил:              учитель высшей квалификационной категории Ивченко Олег Владимирович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2019-2020 учебный год.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before="280" w:after="280"/>
        <w:jc w:val="center"/>
        <w:outlineLvl w:val="2"/>
        <w:rPr/>
      </w:pPr>
      <w:r>
        <w:rPr>
          <w:b/>
          <w:bCs/>
          <w:sz w:val="28"/>
          <w:szCs w:val="28"/>
        </w:rPr>
        <w:t>1. ПОЯСНИТЕЛЬНАЯ ЗАПИСКА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Настоящая рабочая программа составлена на основании базисного учебного плана общеобразовательных учреждений Российской Федерации, утвержденный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 общеобразовательного учреждения «Кириковская средняя школа» (10 – 11 класс) на 2019-2020 учебный год, учебника Мировая художественная культура. Учеб. Для 11 кл. общеобразоват. Учреждений. В 2-х частях. Ч.1./ Л.А.Рапацкая – М.: Гуманитарный изд. центр ВЛАДОС, 2008. Допущено Министерством образования и науки РФ,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Программа является базовой. В целом на изучение предмета Мировая художественная культура в 11 классе в 2019 -2020 учебном году отводится 34 часа. Один час в неделю.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Изучение мировой художественной культуры на уровне среднего  общего образования  направлено на достижение следующих </w:t>
      </w:r>
      <w:r>
        <w:rPr>
          <w:bCs/>
          <w:sz w:val="28"/>
          <w:szCs w:val="28"/>
        </w:rPr>
        <w:t>целей: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развитие чувств, эмоций, образно-ассоциативного мышления и художественно-творческих способностей;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художественно-эстетического вкуса; потребности в освоении ценностей мировой культуры;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>
      <w:pPr>
        <w:pStyle w:val="Normal"/>
        <w:jc w:val="both"/>
        <w:rPr/>
      </w:pPr>
      <w:r>
        <w:rPr>
          <w:sz w:val="28"/>
          <w:szCs w:val="28"/>
        </w:rPr>
        <w:t>- использование приобретенных знаний и умений для расширения кругозора, осознанного формирования собственной культурной среды.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Для выявления результатов изучения программы по предмету используются следующие формы и методы контроля тестирование, проведение контрольных работ, зачетов; написание сочинения (эссе), участие в конкурсах, выставках, олимпиадах, викторинах, фестивалях и др.</w:t>
        <w:br/>
        <w:t xml:space="preserve">    Предмет завершается промежуточной аттестацией в форме тестирования в мае 2020 года, после прохождения всего учебного курса. Текущий контроль при реализации настоящей программы не выделяется в отдельные занятия, а включается в названных выше формах в методику урока.</w:t>
      </w:r>
    </w:p>
    <w:p>
      <w:pPr>
        <w:pStyle w:val="Normal"/>
        <w:spacing w:before="280" w:after="28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Планируемые результаты освоения предмета.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 результате изучения  предмета «мировая художественная культура» ученик должен знать:  основные виды и жанры искусства; изученные направления и стили мировой художественной культуры; шедевры мировой художественной культуры; особенности языка различных видов искусства.           Уметь: узнавать изученные произведения и соотносить их с определенной эпохой, стилем, направлением; устанавливать стилевые и сюжетные связи между произведениями разных видов искусства; пользоваться различными источниками информации о мировой художественной культуре; выполнять учебные и творческие задания (доклады, сообщения).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Уметь самостоятельно и мотивированно организовывать свою познавательную деятельность;</w:t>
      </w:r>
    </w:p>
    <w:p>
      <w:pPr>
        <w:pStyle w:val="Normal"/>
        <w:jc w:val="both"/>
        <w:rPr/>
      </w:pPr>
      <w:r>
        <w:rPr>
          <w:sz w:val="28"/>
          <w:szCs w:val="28"/>
        </w:rPr>
        <w:t>- устанавливать несложные реальные связи и зависимости;</w:t>
      </w:r>
    </w:p>
    <w:p>
      <w:pPr>
        <w:pStyle w:val="Normal"/>
        <w:jc w:val="both"/>
        <w:rPr/>
      </w:pPr>
      <w:r>
        <w:rPr>
          <w:sz w:val="28"/>
          <w:szCs w:val="28"/>
        </w:rPr>
        <w:t>- оценивать, сопоставлять и классифицировать феномены культуры и искусства;</w:t>
      </w:r>
    </w:p>
    <w:p>
      <w:pPr>
        <w:pStyle w:val="Normal"/>
        <w:jc w:val="both"/>
        <w:rPr/>
      </w:pPr>
      <w:r>
        <w:rPr>
          <w:sz w:val="28"/>
          <w:szCs w:val="28"/>
        </w:rPr>
        <w:t>- осуществлять поиск и критический отбор нужной информации в источниках различного типа (в том числе и созданных в иной знаковой системе “языки” разных видов искусств);</w:t>
      </w:r>
    </w:p>
    <w:p>
      <w:pPr>
        <w:pStyle w:val="Normal"/>
        <w:jc w:val="both"/>
        <w:rPr/>
      </w:pPr>
      <w:r>
        <w:rPr>
          <w:sz w:val="28"/>
          <w:szCs w:val="28"/>
        </w:rPr>
        <w:t>- использовать мультимедийные ресурсы и компьютерные технологии для оформления творческих работ;</w:t>
      </w:r>
    </w:p>
    <w:p>
      <w:pPr>
        <w:pStyle w:val="Normal"/>
        <w:jc w:val="both"/>
        <w:rPr/>
      </w:pPr>
      <w:r>
        <w:rPr>
          <w:sz w:val="28"/>
          <w:szCs w:val="28"/>
        </w:rPr>
        <w:t>- владеть основными формами публичных выступлений;</w:t>
      </w:r>
    </w:p>
    <w:p>
      <w:pPr>
        <w:pStyle w:val="Normal"/>
        <w:jc w:val="both"/>
        <w:rPr/>
      </w:pPr>
      <w:r>
        <w:rPr>
          <w:sz w:val="28"/>
          <w:szCs w:val="28"/>
        </w:rPr>
        <w:t>- понимать ценность художественного образования как средства развития культуры личности;</w:t>
      </w:r>
    </w:p>
    <w:p>
      <w:pPr>
        <w:pStyle w:val="Normal"/>
        <w:jc w:val="both"/>
        <w:rPr/>
      </w:pPr>
      <w:r>
        <w:rPr>
          <w:sz w:val="28"/>
          <w:szCs w:val="28"/>
        </w:rPr>
        <w:t>- определять собственное отношение к произведениям классики и современного искусства;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осознавать свою культурную и национальную принадлежность.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280" w:after="28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 Содержание учебного предмета.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08"/>
        <w:gridCol w:w="5372"/>
        <w:gridCol w:w="3201"/>
      </w:tblGrid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Раздел, тема.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t>. Основные течения в европейской художественной культуре 19 начала 20 века.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t>Художественная культура России19-20 века.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t>Европа и Америка: Художественная культура20 века.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t>Русская художественная культура 20 века от эпохи тоталитаризма до возвращения к истокам.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280" w:after="28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Тематическое планирование с указанием часов на освоение каждой темы.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66"/>
        <w:gridCol w:w="5357"/>
        <w:gridCol w:w="1841"/>
        <w:gridCol w:w="1817"/>
      </w:tblGrid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проведения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 w:val="28"/>
                <w:szCs w:val="28"/>
              </w:rPr>
            </w:pPr>
            <w:r>
              <w:rPr/>
              <w:t>Тема 1. Романтизм в художественной культуре Европы 19 века; открытие внутреннего мира человека.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Романтизм в художественной культуре Франции 19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Образный мир испанского художника Ф. Гойи.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2. Шедевры музыкального искусства эпохи романтизма.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Великие композиторы 19 века восточных земель Европы.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Тема3. Импрессионизм: поиск ускользающей красоты.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Импрессионизм в музыкальном искусстве.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4. Экспрессионизм . Действительность сквозь призму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5. Мир реальности и «мир новой реальности»: Традиционные и нетрадиционные течения в искусстве 19 -20 веков.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Эстетика символизма.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Эстетика постимпрессионизма.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Новые направления в живописи и скульптуре.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6. Фундамент национальной классики: шедевры русской художественной культуры первой половины 19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Изобразительное искусство и архитектура первой половины 19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7. Русская художественная культура пореформенной эпохи: вера в высокую миссию русского народа.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Развитие отечественной живописи в пореформенный период.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25.12.2019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8. Переоценка ценностей в художественной культуре «серебрянного века»: открытие символизма.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Символизм в русской живописи.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9.Эстетика эксперемента и ранний русский авангард.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«Русский футуризм»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10. В поисках утраченных идеалов: неоклассицизм и поздний романтизм.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Художественное объединение «Мир искусств»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11. Художественная литература 20 века. Полюсы добра и зла.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Тема12.Музыкальное искусство в нотах и без нот.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«Музыкальный авангард»20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 13. Театр и киноискусство 20 века; культурная дополняемость.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Тема14. . Художественная культура Америки: обаяние молодости.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Искусство Латинской Америки.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Тема15. Социалистический реализм: глобальная политизация художественной культуры 20-30 гг.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Тема16. Смысл высокой трагедии, образы искусства военных лет и образы войны в искусстве второй половины 20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Тема17.Общечеловеческие ценности и « русская тема» в советском искусстве периода «оттепели».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Развитие живописи и музыки в 60-е годы.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Тема18. Противоречия в отечественной художественной культуре последних десятилетий 20 века.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13.05.2020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/>
              <w:t>Тестирование «Мировая художественная культура 20 столетия»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20.05.2020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 Список литературы, используемый при оформлении рабочей программы.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Акимова Л.И. Искусство Древней Греции. Геометрика. Архаика/Л.И. Акимова. – СПб.,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Акимова Л.И. Искусство Древней Греции. Классика/Л.И.Акимова. – СПб.,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Альбанезе М. Древняя Индия. От возникновения до XIII века/М. Альбанезе. – М., 2003.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Андреева Е.Ю. Постмодернизм/Е.Ю. Андреева. – СПб.,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Бенуа А.Н. История русской живописи в XIX веке / А.Н.Бенуа. – М., 1998. 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Герман М.Ю. Модернизм/М.Ю. Герман. – СПб., 2005.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Даниэль С.М. Рококо/С.М. Даниэль. – СПб.,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Емохонова Л.Г. Художественная культура буддизма/Л.Г. Емохонова. – М.,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Емохонова Л.Г. Художественная культура ислама/Л.Г. Емохонова. – М.,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Искусство: энциклопедический словарь школьника / сост. П.Кошель. – М., 2000.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Китай. Земля небесного дракона / под общ. ред. Э.Л.Шонесси. – М., 2001.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Кун Н.А. Легенды и мифы Древней Греции / Н.А.Кун.  – М., 2005.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Лисовский В.Г. Архитектура эпохи Возрождения. Италия/В.Г.Лисовский. – СПб., 2007.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Русская живопись: энциклопедия / под ред. Г.П.Конечна. – М., 2003.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Степанов А.В. Искусство эпохи Возрождения. Италия. XIV–XV века/А.В.Степанов. – СПб., 2005.</w:t>
      </w:r>
    </w:p>
    <w:p>
      <w:pPr>
        <w:pStyle w:val="Normal"/>
        <w:numPr>
          <w:ilvl w:val="0"/>
          <w:numId w:val="1"/>
        </w:numPr>
        <w:spacing w:before="0" w:after="0"/>
        <w:rPr>
          <w:sz w:val="28"/>
          <w:szCs w:val="28"/>
        </w:rPr>
      </w:pPr>
      <w:r>
        <w:rPr>
          <w:rStyle w:val="C2"/>
          <w:sz w:val="28"/>
          <w:szCs w:val="28"/>
        </w:rPr>
        <w:t>Степанов А.В. Искусство эпохи Возрождения. Италия. XVI век/А.В.Степанов. – СПб., 2007.</w:t>
      </w:r>
    </w:p>
    <w:p>
      <w:pPr>
        <w:pStyle w:val="Normal"/>
        <w:numPr>
          <w:ilvl w:val="0"/>
          <w:numId w:val="1"/>
        </w:numPr>
        <w:spacing w:before="0" w:after="280"/>
        <w:rPr>
          <w:sz w:val="28"/>
          <w:szCs w:val="28"/>
        </w:rPr>
      </w:pPr>
      <w:r>
        <w:rPr>
          <w:rStyle w:val="C2"/>
          <w:sz w:val="28"/>
          <w:szCs w:val="28"/>
        </w:rPr>
        <w:t>Энциклопедия искусства XX века/сост. О.Б.Краснова. – М., 2003 г.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280" w:after="28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3z1">
    <w:name w:val="WW8Num3z1"/>
    <w:qFormat/>
    <w:rPr>
      <w:rFonts w:ascii="Courier New" w:hAnsi="Courier New" w:cs="Courier New"/>
      <w:sz w:val="20"/>
    </w:rPr>
  </w:style>
  <w:style w:type="character" w:styleId="WW8Num3z2">
    <w:name w:val="WW8Num3z2"/>
    <w:qFormat/>
    <w:rPr>
      <w:rFonts w:ascii="Wingdings" w:hAnsi="Wingdings" w:cs="Wingdings"/>
      <w:sz w:val="20"/>
    </w:rPr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sz w:val="28"/>
      <w:szCs w:val="28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C2">
    <w:name w:val="c2"/>
    <w:basedOn w:val="Style14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HTML">
    <w:name w:val="Стандартный HTML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C0">
    <w:name w:val="c0"/>
    <w:basedOn w:val="Normal"/>
    <w:qFormat/>
    <w:pPr>
      <w:spacing w:before="280" w:after="280"/>
    </w:pPr>
    <w:rPr/>
  </w:style>
  <w:style w:type="paragraph" w:styleId="Style20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2015-09-14T12:25:00Z</dcterms:created>
  <dc:creator>телемакс</dc:creator>
  <dc:description/>
  <dc:language>ru-RU</dc:language>
  <cp:lastModifiedBy>Пользователь Windows</cp:lastModifiedBy>
  <dcterms:modified xsi:type="dcterms:W3CDTF">2019-09-15T12:05:00Z</dcterms:modified>
  <cp:revision>13</cp:revision>
  <dc:subject/>
  <dc:title>РАССМОТРЕНО:                  СОГЛАСОВАНО:                УТВЕРЖДАЮ:</dc:title>
</cp:coreProperties>
</file>